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01B51B" w14:textId="77777777" w:rsidR="00165A16" w:rsidRPr="00165A16" w:rsidRDefault="00165A16" w:rsidP="00165A16">
      <w:pPr>
        <w:spacing w:after="0" w:line="630" w:lineRule="atLeast"/>
        <w:outlineLvl w:val="0"/>
        <w:rPr>
          <w:rFonts w:ascii="Georgia" w:eastAsia="Times New Roman" w:hAnsi="Georgia" w:cs="Times New Roman"/>
          <w:color w:val="1F1F1F"/>
          <w:kern w:val="36"/>
          <w:sz w:val="48"/>
          <w:szCs w:val="48"/>
          <w14:ligatures w14:val="none"/>
        </w:rPr>
      </w:pPr>
      <w:r w:rsidRPr="00165A16">
        <w:rPr>
          <w:rFonts w:ascii="Georgia" w:eastAsia="Times New Roman" w:hAnsi="Georgia" w:cs="Times New Roman"/>
          <w:color w:val="1F1F1F"/>
          <w:kern w:val="36"/>
          <w:sz w:val="48"/>
          <w:szCs w:val="48"/>
          <w14:ligatures w14:val="none"/>
        </w:rPr>
        <w:t>Improvement of the performance of recycled concrete powder-based artificial aggregates through the acceleration carbonation effect induced by polyethyleneimine admixture</w:t>
      </w:r>
    </w:p>
    <w:p w14:paraId="4B8DA200" w14:textId="77777777" w:rsidR="00165A16" w:rsidRPr="00165A16" w:rsidRDefault="00165A16" w:rsidP="00165A16">
      <w:pPr>
        <w:spacing w:after="0" w:line="240" w:lineRule="auto"/>
        <w:rPr>
          <w:rFonts w:ascii="Arial" w:eastAsia="Times New Roman" w:hAnsi="Arial" w:cs="Arial"/>
          <w:color w:val="1F1F1F"/>
          <w:kern w:val="0"/>
          <w14:ligatures w14:val="none"/>
        </w:rPr>
      </w:pPr>
      <w:r w:rsidRPr="00165A16">
        <w:rPr>
          <w:rFonts w:ascii="Arial" w:eastAsia="Times New Roman" w:hAnsi="Arial" w:cs="Arial"/>
          <w:color w:val="1F1F1F"/>
          <w:kern w:val="0"/>
          <w:bdr w:val="none" w:sz="0" w:space="0" w:color="auto" w:frame="1"/>
          <w14:ligatures w14:val="none"/>
        </w:rPr>
        <w:t xml:space="preserve">Author links open overlay </w:t>
      </w:r>
      <w:proofErr w:type="spellStart"/>
      <w:r w:rsidRPr="00165A16">
        <w:rPr>
          <w:rFonts w:ascii="Arial" w:eastAsia="Times New Roman" w:hAnsi="Arial" w:cs="Arial"/>
          <w:color w:val="1F1F1F"/>
          <w:kern w:val="0"/>
          <w:bdr w:val="none" w:sz="0" w:space="0" w:color="auto" w:frame="1"/>
          <w14:ligatures w14:val="none"/>
        </w:rPr>
        <w:t>panel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Shuqing</w:t>
      </w:r>
      <w:proofErr w:type="spellEnd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Tao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a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</w:t>
      </w:r>
      <w:bookmarkStart w:id="0" w:name="bau0010-profile"/>
      <w:proofErr w:type="spellStart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begin"/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instrText>HYPERLINK "https://www.sciencedirect.com/author/7402947710/qijun-yu"</w:instrTex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separate"/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Qijun</w:t>
      </w:r>
      <w:proofErr w:type="spellEnd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Yu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a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b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c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f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end"/>
      </w:r>
      <w:bookmarkEnd w:id="0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Yang Yu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d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</w:t>
      </w:r>
      <w:proofErr w:type="spellStart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J.M.Ruwan</w:t>
      </w:r>
      <w:proofErr w:type="spellEnd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 xml:space="preserve"> S. Appuhamy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e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Dianlong Zhang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a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Peng Gao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a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b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c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f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</w:t>
      </w:r>
      <w:bookmarkStart w:id="1" w:name="bau0035-profile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begin"/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instrText>HYPERLINK "https://www.sciencedirect.com/author/36179843700/qing-jiang"</w:instrTex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separate"/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Qing Jiang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a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b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c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end"/>
      </w:r>
      <w:bookmarkEnd w:id="1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Yuting Chu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a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Yunlei Xiao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a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, </w:t>
      </w:r>
      <w:bookmarkStart w:id="2" w:name="bau0050-profile"/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begin"/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instrText>HYPERLINK "https://www.sciencedirect.com/author/16308537100/binggen-zhan"</w:instrTex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separate"/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Binggen Zhan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a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b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c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 </w:t>
      </w:r>
      <w:r w:rsidRPr="00165A16">
        <w:rPr>
          <w:rFonts w:ascii="Arial" w:eastAsia="Times New Roman" w:hAnsi="Arial" w:cs="Arial"/>
          <w:color w:val="1F1F1F"/>
          <w:kern w:val="0"/>
          <w:sz w:val="18"/>
          <w:szCs w:val="18"/>
          <w:vertAlign w:val="superscript"/>
          <w14:ligatures w14:val="none"/>
        </w:rPr>
        <w:t>f</w:t>
      </w: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fldChar w:fldCharType="end"/>
      </w:r>
      <w:bookmarkEnd w:id="2"/>
    </w:p>
    <w:p w14:paraId="138CC7FF" w14:textId="77777777" w:rsidR="00165A16" w:rsidRPr="00165A16" w:rsidRDefault="00165A16" w:rsidP="00165A16">
      <w:pPr>
        <w:spacing w:after="0" w:line="240" w:lineRule="auto"/>
        <w:rPr>
          <w:rFonts w:ascii="Arial" w:eastAsia="Times New Roman" w:hAnsi="Arial" w:cs="Arial"/>
          <w:color w:val="1F1F1F"/>
          <w:kern w:val="0"/>
          <w14:ligatures w14:val="none"/>
        </w:rPr>
      </w:pP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Show more</w:t>
      </w:r>
    </w:p>
    <w:p w14:paraId="1AE14DFE" w14:textId="77777777" w:rsidR="00165A16" w:rsidRPr="00165A16" w:rsidRDefault="00165A16" w:rsidP="00165A16">
      <w:pPr>
        <w:spacing w:after="0" w:line="240" w:lineRule="auto"/>
        <w:rPr>
          <w:rFonts w:ascii="Arial" w:eastAsia="Times New Roman" w:hAnsi="Arial" w:cs="Arial"/>
          <w:color w:val="1F1F1F"/>
          <w:kern w:val="0"/>
          <w14:ligatures w14:val="none"/>
        </w:rPr>
      </w:pP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Add to Mendeley</w:t>
      </w:r>
    </w:p>
    <w:p w14:paraId="5079C045" w14:textId="77777777" w:rsidR="00165A16" w:rsidRPr="00165A16" w:rsidRDefault="00165A16" w:rsidP="00165A16">
      <w:pPr>
        <w:spacing w:after="0" w:line="240" w:lineRule="auto"/>
        <w:rPr>
          <w:rFonts w:ascii="Arial" w:eastAsia="Times New Roman" w:hAnsi="Arial" w:cs="Arial"/>
          <w:color w:val="1F1F1F"/>
          <w:kern w:val="0"/>
          <w14:ligatures w14:val="none"/>
        </w:rPr>
      </w:pP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Share</w:t>
      </w:r>
    </w:p>
    <w:p w14:paraId="69D1FD57" w14:textId="77777777" w:rsidR="00165A16" w:rsidRPr="00165A16" w:rsidRDefault="00165A16" w:rsidP="00165A16">
      <w:pPr>
        <w:spacing w:after="0" w:line="240" w:lineRule="auto"/>
        <w:rPr>
          <w:rFonts w:ascii="Arial" w:eastAsia="Times New Roman" w:hAnsi="Arial" w:cs="Arial"/>
          <w:color w:val="1F1F1F"/>
          <w:kern w:val="0"/>
          <w14:ligatures w14:val="none"/>
        </w:rPr>
      </w:pPr>
      <w:r w:rsidRPr="00165A16">
        <w:rPr>
          <w:rFonts w:ascii="Arial" w:eastAsia="Times New Roman" w:hAnsi="Arial" w:cs="Arial"/>
          <w:color w:val="1F1F1F"/>
          <w:kern w:val="0"/>
          <w14:ligatures w14:val="none"/>
        </w:rPr>
        <w:t>Cite</w:t>
      </w:r>
    </w:p>
    <w:p w14:paraId="37F0F07C" w14:textId="77777777" w:rsidR="00165A16" w:rsidRPr="00165A16" w:rsidRDefault="00165A16" w:rsidP="00165A16">
      <w:pPr>
        <w:spacing w:after="0" w:line="330" w:lineRule="atLeast"/>
        <w:rPr>
          <w:rFonts w:ascii="Arial" w:eastAsia="Times New Roman" w:hAnsi="Arial" w:cs="Arial"/>
          <w:color w:val="1F1F1F"/>
          <w:kern w:val="0"/>
          <w:sz w:val="21"/>
          <w:szCs w:val="21"/>
          <w14:ligatures w14:val="none"/>
        </w:rPr>
      </w:pPr>
      <w:hyperlink r:id="rId5" w:tgtFrame="_blank" w:tooltip="Persistent link using digital object identifier" w:history="1">
        <w:r w:rsidRPr="00165A16">
          <w:rPr>
            <w:rFonts w:ascii="Arial" w:eastAsia="Times New Roman" w:hAnsi="Arial" w:cs="Arial"/>
            <w:color w:val="0272B1"/>
            <w:kern w:val="0"/>
            <w:sz w:val="21"/>
            <w:szCs w:val="21"/>
            <w14:ligatures w14:val="none"/>
          </w:rPr>
          <w:t>https://doi.org/10.1016/j.conbuildmat.2025.141503</w:t>
        </w:r>
      </w:hyperlink>
      <w:hyperlink r:id="rId6" w:tgtFrame="_blank" w:history="1">
        <w:r w:rsidRPr="00165A16">
          <w:rPr>
            <w:rFonts w:ascii="Arial" w:eastAsia="Times New Roman" w:hAnsi="Arial" w:cs="Arial"/>
            <w:color w:val="0272B1"/>
            <w:kern w:val="0"/>
            <w:sz w:val="21"/>
            <w:szCs w:val="21"/>
            <w14:ligatures w14:val="none"/>
          </w:rPr>
          <w:t>Get rights and content</w:t>
        </w:r>
      </w:hyperlink>
    </w:p>
    <w:p w14:paraId="3146A4E2" w14:textId="77777777" w:rsidR="00165A16" w:rsidRPr="00165A16" w:rsidRDefault="00165A16" w:rsidP="00165A16">
      <w:pPr>
        <w:shd w:val="clear" w:color="auto" w:fill="FFFFFF"/>
        <w:spacing w:after="0" w:line="240" w:lineRule="auto"/>
        <w:rPr>
          <w:rFonts w:ascii="system-ui" w:eastAsia="Times New Roman" w:hAnsi="system-ui" w:cs="Arial"/>
          <w:color w:val="000000"/>
          <w:spacing w:val="-1"/>
          <w:kern w:val="0"/>
          <w14:ligatures w14:val="none"/>
        </w:rPr>
      </w:pPr>
      <w:r w:rsidRPr="00165A16">
        <w:rPr>
          <w:rFonts w:ascii="system-ui" w:eastAsia="Times New Roman" w:hAnsi="system-ui" w:cs="Arial"/>
          <w:color w:val="000000"/>
          <w:spacing w:val="-1"/>
          <w:kern w:val="0"/>
          <w14:ligatures w14:val="none"/>
        </w:rPr>
        <w:t>Listen</w:t>
      </w:r>
    </w:p>
    <w:p w14:paraId="7E3031CA" w14:textId="77777777" w:rsidR="00165A16" w:rsidRPr="00165A16" w:rsidRDefault="00165A16" w:rsidP="00165A16">
      <w:pPr>
        <w:shd w:val="clear" w:color="auto" w:fill="FFFFFF"/>
        <w:spacing w:after="0" w:line="240" w:lineRule="auto"/>
        <w:rPr>
          <w:rFonts w:ascii="system-ui" w:eastAsia="Times New Roman" w:hAnsi="system-ui" w:cs="Arial"/>
          <w:color w:val="9F9F9F"/>
          <w:spacing w:val="-1"/>
          <w:kern w:val="0"/>
          <w:sz w:val="18"/>
          <w:szCs w:val="18"/>
          <w14:ligatures w14:val="none"/>
        </w:rPr>
      </w:pPr>
      <w:r w:rsidRPr="00165A16">
        <w:rPr>
          <w:rFonts w:ascii="system-ui" w:eastAsia="Times New Roman" w:hAnsi="system-ui" w:cs="Arial"/>
          <w:color w:val="9F9F9F"/>
          <w:spacing w:val="-1"/>
          <w:kern w:val="0"/>
          <w:sz w:val="18"/>
          <w:szCs w:val="18"/>
          <w14:ligatures w14:val="none"/>
        </w:rPr>
        <w:t>•</w:t>
      </w:r>
    </w:p>
    <w:p w14:paraId="19F2FB5C" w14:textId="77777777" w:rsidR="00165A16" w:rsidRPr="00165A16" w:rsidRDefault="00165A16" w:rsidP="00165A16">
      <w:pPr>
        <w:shd w:val="clear" w:color="auto" w:fill="FFFFFF"/>
        <w:spacing w:after="0" w:line="240" w:lineRule="auto"/>
        <w:rPr>
          <w:rFonts w:ascii="system-ui" w:eastAsia="Times New Roman" w:hAnsi="system-ui" w:cs="Arial"/>
          <w:color w:val="000000"/>
          <w:spacing w:val="-1"/>
          <w:kern w:val="0"/>
          <w14:ligatures w14:val="none"/>
        </w:rPr>
      </w:pPr>
      <w:r w:rsidRPr="00165A16">
        <w:rPr>
          <w:rFonts w:ascii="system-ui" w:eastAsia="Times New Roman" w:hAnsi="system-ui" w:cs="Arial"/>
          <w:color w:val="000000"/>
          <w:spacing w:val="-1"/>
          <w:kern w:val="0"/>
          <w14:ligatures w14:val="none"/>
        </w:rPr>
        <w:t>0 sec</w:t>
      </w:r>
    </w:p>
    <w:p w14:paraId="19A1BE55" w14:textId="77777777" w:rsidR="00165A16" w:rsidRPr="00165A16" w:rsidRDefault="00165A16" w:rsidP="00165A16">
      <w:pPr>
        <w:shd w:val="clear" w:color="auto" w:fill="FFFFFF"/>
        <w:spacing w:after="0" w:line="240" w:lineRule="auto"/>
        <w:rPr>
          <w:rFonts w:ascii="system-ui" w:eastAsia="Times New Roman" w:hAnsi="system-ui" w:cs="Arial"/>
          <w:color w:val="FFFFFF"/>
          <w:spacing w:val="-1"/>
          <w:kern w:val="0"/>
          <w:sz w:val="18"/>
          <w:szCs w:val="18"/>
          <w14:ligatures w14:val="none"/>
        </w:rPr>
      </w:pPr>
      <w:r w:rsidRPr="00165A16">
        <w:rPr>
          <w:rFonts w:ascii="system-ui" w:eastAsia="Times New Roman" w:hAnsi="system-ui" w:cs="Arial"/>
          <w:color w:val="FFFFFF"/>
          <w:spacing w:val="-1"/>
          <w:kern w:val="0"/>
          <w:sz w:val="18"/>
          <w:szCs w:val="18"/>
          <w14:ligatures w14:val="none"/>
        </w:rPr>
        <w:t>Open Speechify library</w:t>
      </w:r>
    </w:p>
    <w:p w14:paraId="6D0F8869" w14:textId="77777777" w:rsidR="00165A16" w:rsidRPr="00165A16" w:rsidRDefault="00165A16" w:rsidP="00165A16">
      <w:pPr>
        <w:shd w:val="clear" w:color="auto" w:fill="F5F5F5"/>
        <w:spacing w:after="240" w:line="450" w:lineRule="atLeast"/>
        <w:outlineLvl w:val="1"/>
        <w:rPr>
          <w:rFonts w:ascii="Georgia" w:eastAsia="Times New Roman" w:hAnsi="Georgia" w:cs="Arial"/>
          <w:color w:val="1F1F1F"/>
          <w:kern w:val="0"/>
          <w:sz w:val="30"/>
          <w:szCs w:val="3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:sz w:val="30"/>
          <w:szCs w:val="30"/>
          <w14:ligatures w14:val="none"/>
        </w:rPr>
        <w:t>Highlights</w:t>
      </w:r>
    </w:p>
    <w:p w14:paraId="07F11391" w14:textId="77777777" w:rsidR="00165A16" w:rsidRPr="00165A16" w:rsidRDefault="00165A16" w:rsidP="00165A16">
      <w:pPr>
        <w:numPr>
          <w:ilvl w:val="0"/>
          <w:numId w:val="1"/>
        </w:numPr>
        <w:shd w:val="clear" w:color="auto" w:fill="F5F5F5"/>
        <w:spacing w:after="0" w:line="390" w:lineRule="atLeast"/>
        <w:rPr>
          <w:rFonts w:ascii="Times New Roman" w:eastAsia="Times New Roman" w:hAnsi="Times New Roman" w:cs="Times New Roman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•</w:t>
      </w:r>
    </w:p>
    <w:p w14:paraId="4688590C" w14:textId="77777777" w:rsidR="00165A16" w:rsidRPr="00165A16" w:rsidRDefault="00165A16" w:rsidP="00165A16">
      <w:pPr>
        <w:shd w:val="clear" w:color="auto" w:fill="F5F5F5"/>
        <w:spacing w:after="0" w:line="390" w:lineRule="atLeast"/>
        <w:ind w:left="720"/>
        <w:rPr>
          <w:rFonts w:ascii="Times New Roman" w:eastAsia="Times New Roman" w:hAnsi="Times New Roman" w:cs="Times New Roman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Recycled concrete powder is used to produce artificial aggregates, supporting the recycling of construction waste resources.</w:t>
      </w:r>
    </w:p>
    <w:p w14:paraId="77CD041D" w14:textId="77777777" w:rsidR="00165A16" w:rsidRPr="00165A16" w:rsidRDefault="00165A16" w:rsidP="00165A16">
      <w:pPr>
        <w:numPr>
          <w:ilvl w:val="0"/>
          <w:numId w:val="1"/>
        </w:numPr>
        <w:shd w:val="clear" w:color="auto" w:fill="F5F5F5"/>
        <w:spacing w:after="0" w:line="390" w:lineRule="atLeast"/>
        <w:rPr>
          <w:rFonts w:ascii="Times New Roman" w:eastAsia="Times New Roman" w:hAnsi="Times New Roman" w:cs="Times New Roman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•</w:t>
      </w:r>
    </w:p>
    <w:p w14:paraId="0F23B5D0" w14:textId="77777777" w:rsidR="00165A16" w:rsidRPr="00165A16" w:rsidRDefault="00165A16" w:rsidP="00165A16">
      <w:pPr>
        <w:shd w:val="clear" w:color="auto" w:fill="F5F5F5"/>
        <w:spacing w:after="0" w:line="390" w:lineRule="atLeast"/>
        <w:ind w:left="720"/>
        <w:rPr>
          <w:rFonts w:ascii="Times New Roman" w:eastAsia="Times New Roman" w:hAnsi="Times New Roman" w:cs="Times New Roman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Polyethyleneimine and carbonation significantly enhance the density, strength, and water absorption of artificial aggregates.</w:t>
      </w:r>
    </w:p>
    <w:p w14:paraId="6802A7FB" w14:textId="77777777" w:rsidR="00165A16" w:rsidRPr="00165A16" w:rsidRDefault="00165A16" w:rsidP="00165A16">
      <w:pPr>
        <w:numPr>
          <w:ilvl w:val="0"/>
          <w:numId w:val="1"/>
        </w:numPr>
        <w:shd w:val="clear" w:color="auto" w:fill="F5F5F5"/>
        <w:spacing w:after="0" w:line="390" w:lineRule="atLeast"/>
        <w:rPr>
          <w:rFonts w:ascii="Times New Roman" w:eastAsia="Times New Roman" w:hAnsi="Times New Roman" w:cs="Times New Roman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•</w:t>
      </w:r>
    </w:p>
    <w:p w14:paraId="48F32399" w14:textId="77777777" w:rsidR="00165A16" w:rsidRPr="00165A16" w:rsidRDefault="00165A16" w:rsidP="00165A16">
      <w:pPr>
        <w:shd w:val="clear" w:color="auto" w:fill="F5F5F5"/>
        <w:spacing w:after="0" w:line="390" w:lineRule="atLeast"/>
        <w:ind w:left="720"/>
        <w:rPr>
          <w:rFonts w:ascii="Times New Roman" w:eastAsia="Times New Roman" w:hAnsi="Times New Roman" w:cs="Times New Roman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Microstructural analysis systematically reveals the mechanisms that enhance the performance of artificial aggregates.</w:t>
      </w:r>
    </w:p>
    <w:p w14:paraId="32A96F23" w14:textId="77777777" w:rsidR="00165A16" w:rsidRPr="00165A16" w:rsidRDefault="00165A16" w:rsidP="00165A16">
      <w:pPr>
        <w:numPr>
          <w:ilvl w:val="0"/>
          <w:numId w:val="1"/>
        </w:numPr>
        <w:shd w:val="clear" w:color="auto" w:fill="F5F5F5"/>
        <w:spacing w:after="0" w:line="390" w:lineRule="atLeast"/>
        <w:rPr>
          <w:rFonts w:ascii="Times New Roman" w:eastAsia="Times New Roman" w:hAnsi="Times New Roman" w:cs="Times New Roman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•</w:t>
      </w:r>
    </w:p>
    <w:p w14:paraId="2919614A" w14:textId="77777777" w:rsidR="00165A16" w:rsidRPr="00165A16" w:rsidRDefault="00165A16" w:rsidP="00165A16">
      <w:pPr>
        <w:shd w:val="clear" w:color="auto" w:fill="F5F5F5"/>
        <w:spacing w:after="0" w:line="390" w:lineRule="atLeast"/>
        <w:ind w:left="720"/>
        <w:rPr>
          <w:rFonts w:ascii="Times New Roman" w:eastAsia="Times New Roman" w:hAnsi="Times New Roman" w:cs="Times New Roman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The use of artificial aggregates for carbon sequestration supports sustainable, low-carbon, and green development.</w:t>
      </w:r>
    </w:p>
    <w:p w14:paraId="4DB629FA" w14:textId="77777777" w:rsidR="00165A16" w:rsidRPr="00165A16" w:rsidRDefault="00165A16" w:rsidP="00165A16">
      <w:pPr>
        <w:spacing w:before="480" w:after="240" w:line="450" w:lineRule="atLeast"/>
        <w:outlineLvl w:val="1"/>
        <w:rPr>
          <w:rFonts w:ascii="Georgia" w:eastAsia="Times New Roman" w:hAnsi="Georgia" w:cs="Arial"/>
          <w:color w:val="1F1F1F"/>
          <w:kern w:val="0"/>
          <w:sz w:val="30"/>
          <w:szCs w:val="3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:sz w:val="30"/>
          <w:szCs w:val="30"/>
          <w14:ligatures w14:val="none"/>
        </w:rPr>
        <w:t>Abstract</w:t>
      </w:r>
    </w:p>
    <w:p w14:paraId="60752A58" w14:textId="77777777" w:rsidR="00165A16" w:rsidRPr="00165A16" w:rsidRDefault="00165A16" w:rsidP="00165A16">
      <w:pPr>
        <w:spacing w:after="0" w:line="390" w:lineRule="atLeast"/>
        <w:rPr>
          <w:rFonts w:ascii="Georgia" w:eastAsia="Times New Roman" w:hAnsi="Georgia" w:cs="Arial"/>
          <w:color w:val="1F1F1F"/>
          <w:kern w:val="0"/>
          <w14:ligatures w14:val="none"/>
        </w:rPr>
      </w:pP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lastRenderedPageBreak/>
        <w:t>Manufactured sand, recycled concrete powder, and cement were used as raw materials to produce recycled concrete powder-based artificial aggregates (RCP-AA) via cold-bonding granulation technology. The effects of curing methods and </w:t>
      </w:r>
      <w:hyperlink r:id="rId7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polyethyleneimine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(PEI) dosage on the macro performance and microstructure of RCP-AA were analyzed. The recycled concrete powder contains a small number of active substances that can react with CO₂ to form CaCO</w:t>
      </w:r>
      <w:r w:rsidRPr="00165A16">
        <w:rPr>
          <w:rFonts w:ascii="Georgia" w:eastAsia="Times New Roman" w:hAnsi="Georgia" w:cs="Arial"/>
          <w:color w:val="1F1F1F"/>
          <w:kern w:val="0"/>
          <w:sz w:val="18"/>
          <w:szCs w:val="18"/>
          <w:vertAlign w:val="subscript"/>
          <w14:ligatures w14:val="none"/>
        </w:rPr>
        <w:t>3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, thereby enhancing the performance of the artificial aggregates. Additionally, the secondary and tertiary amine groups in PEI molecules react with CO₂ to promote the </w:t>
      </w:r>
      <w:hyperlink r:id="rId8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carbonation process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and form carbonates. This process not only improves </w:t>
      </w:r>
      <w:hyperlink r:id="rId9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carbonation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efficiency under milder conditions, reducing the dependence on high CO₂ concentrations and pressure, but also significantly enhances the microstructure and performance of the aggregates. The results showed that </w:t>
      </w:r>
      <w:hyperlink r:id="rId10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carbonation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and PEI addition significantly increased aggregate density, reduced water absorption, and enhanced single particle </w:t>
      </w:r>
      <w:hyperlink r:id="rId11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strength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by promoting CaCO</w:t>
      </w:r>
      <w:r w:rsidRPr="00165A16">
        <w:rPr>
          <w:rFonts w:ascii="Georgia" w:eastAsia="Times New Roman" w:hAnsi="Georgia" w:cs="Arial"/>
          <w:color w:val="1F1F1F"/>
          <w:kern w:val="0"/>
          <w:sz w:val="18"/>
          <w:szCs w:val="18"/>
          <w:vertAlign w:val="subscript"/>
          <w14:ligatures w14:val="none"/>
        </w:rPr>
        <w:t>3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formation and improving the microstructure. Specially, the water absorption of RCP-AA reduced from 13.9</w:t>
      </w:r>
      <w:r w:rsidRPr="00165A16">
        <w:rPr>
          <w:rFonts w:ascii="Times New Roman" w:eastAsia="Times New Roman" w:hAnsi="Times New Roman" w:cs="Times New Roman"/>
          <w:color w:val="1F1F1F"/>
          <w:kern w:val="0"/>
          <w14:ligatures w14:val="none"/>
        </w:rPr>
        <w:t> 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% to 9.8</w:t>
      </w:r>
      <w:r w:rsidRPr="00165A16">
        <w:rPr>
          <w:rFonts w:ascii="Times New Roman" w:eastAsia="Times New Roman" w:hAnsi="Times New Roman" w:cs="Times New Roman"/>
          <w:color w:val="1F1F1F"/>
          <w:kern w:val="0"/>
          <w14:ligatures w14:val="none"/>
        </w:rPr>
        <w:t> 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%, and the early</w:t>
      </w:r>
      <w:r w:rsidRPr="00165A16">
        <w:rPr>
          <w:rFonts w:ascii="Georgia" w:eastAsia="Times New Roman" w:hAnsi="Georgia" w:cs="Georgia"/>
          <w:color w:val="1F1F1F"/>
          <w:kern w:val="0"/>
          <w14:ligatures w14:val="none"/>
        </w:rPr>
        <w:t> </w:t>
      </w:r>
      <w:hyperlink r:id="rId12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strength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reached 3.07</w:t>
      </w:r>
      <w:r w:rsidRPr="00165A16">
        <w:rPr>
          <w:rFonts w:ascii="Times New Roman" w:eastAsia="Times New Roman" w:hAnsi="Times New Roman" w:cs="Times New Roman"/>
          <w:color w:val="1F1F1F"/>
          <w:kern w:val="0"/>
          <w14:ligatures w14:val="none"/>
        </w:rPr>
        <w:t> 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MPa at an 8</w:t>
      </w:r>
      <w:r w:rsidRPr="00165A16">
        <w:rPr>
          <w:rFonts w:ascii="Times New Roman" w:eastAsia="Times New Roman" w:hAnsi="Times New Roman" w:cs="Times New Roman"/>
          <w:color w:val="1F1F1F"/>
          <w:kern w:val="0"/>
          <w14:ligatures w14:val="none"/>
        </w:rPr>
        <w:t> 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% PEI dosage. Microstructural characterization further confirmed the effects of carbonation, showing a reduction in Ca(OH)</w:t>
      </w:r>
      <w:r w:rsidRPr="00165A16">
        <w:rPr>
          <w:rFonts w:ascii="Georgia" w:eastAsia="Times New Roman" w:hAnsi="Georgia" w:cs="Arial"/>
          <w:color w:val="1F1F1F"/>
          <w:kern w:val="0"/>
          <w:sz w:val="18"/>
          <w:szCs w:val="18"/>
          <w:vertAlign w:val="subscript"/>
          <w14:ligatures w14:val="none"/>
        </w:rPr>
        <w:t>2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content, an increase in CaCO</w:t>
      </w:r>
      <w:r w:rsidRPr="00165A16">
        <w:rPr>
          <w:rFonts w:ascii="Georgia" w:eastAsia="Times New Roman" w:hAnsi="Georgia" w:cs="Arial"/>
          <w:color w:val="1F1F1F"/>
          <w:kern w:val="0"/>
          <w:sz w:val="18"/>
          <w:szCs w:val="18"/>
          <w:vertAlign w:val="subscript"/>
          <w14:ligatures w14:val="none"/>
        </w:rPr>
        <w:t>3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formation, significant </w:t>
      </w:r>
      <w:hyperlink r:id="rId13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pore structure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optimization, and improved carbonation efficiency and structural uniformity. The maximum CaCO</w:t>
      </w:r>
      <w:r w:rsidRPr="00165A16">
        <w:rPr>
          <w:rFonts w:ascii="Georgia" w:eastAsia="Times New Roman" w:hAnsi="Georgia" w:cs="Arial"/>
          <w:color w:val="1F1F1F"/>
          <w:kern w:val="0"/>
          <w:sz w:val="18"/>
          <w:szCs w:val="18"/>
          <w:vertAlign w:val="subscript"/>
          <w14:ligatures w14:val="none"/>
        </w:rPr>
        <w:t>3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 generation occurred within the PEI dosage range of 8–12</w:t>
      </w:r>
      <w:r w:rsidRPr="00165A16">
        <w:rPr>
          <w:rFonts w:ascii="Times New Roman" w:eastAsia="Times New Roman" w:hAnsi="Times New Roman" w:cs="Times New Roman"/>
          <w:color w:val="1F1F1F"/>
          <w:kern w:val="0"/>
          <w14:ligatures w14:val="none"/>
        </w:rPr>
        <w:t> 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%, while a 16</w:t>
      </w:r>
      <w:r w:rsidRPr="00165A16">
        <w:rPr>
          <w:rFonts w:ascii="Times New Roman" w:eastAsia="Times New Roman" w:hAnsi="Times New Roman" w:cs="Times New Roman"/>
          <w:color w:val="1F1F1F"/>
          <w:kern w:val="0"/>
          <w14:ligatures w14:val="none"/>
        </w:rPr>
        <w:t> 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% dosage hindered carbonation due to the formation of overly dense</w:t>
      </w:r>
      <w:r w:rsidRPr="00165A16">
        <w:rPr>
          <w:rFonts w:ascii="Georgia" w:eastAsia="Times New Roman" w:hAnsi="Georgia" w:cs="Georgia"/>
          <w:color w:val="1F1F1F"/>
          <w:kern w:val="0"/>
          <w14:ligatures w14:val="none"/>
        </w:rPr>
        <w:t> </w:t>
      </w:r>
      <w:hyperlink r:id="rId14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polymer films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. Considering both performance and practical applicability, an 8</w:t>
      </w:r>
      <w:r w:rsidRPr="00165A16">
        <w:rPr>
          <w:rFonts w:ascii="Times New Roman" w:eastAsia="Times New Roman" w:hAnsi="Times New Roman" w:cs="Times New Roman"/>
          <w:color w:val="1F1F1F"/>
          <w:kern w:val="0"/>
          <w14:ligatures w14:val="none"/>
        </w:rPr>
        <w:t> </w:t>
      </w:r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% PEI dosage was recommended as the optimal level for improving the structure and mechanical properties of RCP-AA. This study provides a theoretical foundation for the preparation and curing of sustainable</w:t>
      </w:r>
      <w:r w:rsidRPr="00165A16">
        <w:rPr>
          <w:rFonts w:ascii="Georgia" w:eastAsia="Times New Roman" w:hAnsi="Georgia" w:cs="Georgia"/>
          <w:color w:val="1F1F1F"/>
          <w:kern w:val="0"/>
          <w14:ligatures w14:val="none"/>
        </w:rPr>
        <w:t> </w:t>
      </w:r>
      <w:hyperlink r:id="rId15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building materials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, with the proposed method not only enhancing material performance but also offering significant potential for promoting the application of low-carbon, green materials, thereby supporting the construction industry's environmental </w:t>
      </w:r>
      <w:hyperlink r:id="rId16" w:history="1">
        <w:r w:rsidRPr="00165A16">
          <w:rPr>
            <w:rFonts w:ascii="Georgia" w:eastAsia="Times New Roman" w:hAnsi="Georgia" w:cs="Arial"/>
            <w:color w:val="1F1F1F"/>
            <w:kern w:val="0"/>
            <w:u w:val="single"/>
            <w14:ligatures w14:val="none"/>
          </w:rPr>
          <w:t>sustainability</w:t>
        </w:r>
      </w:hyperlink>
      <w:r w:rsidRPr="00165A16">
        <w:rPr>
          <w:rFonts w:ascii="Georgia" w:eastAsia="Times New Roman" w:hAnsi="Georgia" w:cs="Arial"/>
          <w:color w:val="1F1F1F"/>
          <w:kern w:val="0"/>
          <w14:ligatures w14:val="none"/>
        </w:rPr>
        <w:t>.</w:t>
      </w:r>
    </w:p>
    <w:p w14:paraId="1EE2DA35" w14:textId="2E16C7F4" w:rsidR="00BE4DB7" w:rsidRPr="00165A16" w:rsidRDefault="00BE4DB7" w:rsidP="00165A16"/>
    <w:sectPr w:rsidR="00BE4DB7" w:rsidRPr="00165A1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ystem-ui">
    <w:altName w:val="Cambria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A60F6C"/>
    <w:multiLevelType w:val="multilevel"/>
    <w:tmpl w:val="CC0A3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286563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CCE"/>
    <w:rsid w:val="00165A16"/>
    <w:rsid w:val="00B41979"/>
    <w:rsid w:val="00BE4DB7"/>
    <w:rsid w:val="00F04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4EE3E8"/>
  <w15:chartTrackingRefBased/>
  <w15:docId w15:val="{9B71CBDD-CF1C-4811-B271-D99C00B74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04C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04C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04CC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04C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04CC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04C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04C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04C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04C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04CC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04CC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04CC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04CC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04CC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04CC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04CC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04CC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04CC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04C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04C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04C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04C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04C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04CC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04CC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04CC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04CC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04CC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04CCE"/>
    <w:rPr>
      <w:b/>
      <w:bCs/>
      <w:smallCaps/>
      <w:color w:val="2F5496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BE4DB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E4DB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ciencedirect.com/topics/engineering/carbonation-process" TargetMode="External"/><Relationship Id="rId13" Type="http://schemas.openxmlformats.org/officeDocument/2006/relationships/hyperlink" Target="https://www.sciencedirect.com/topics/materials-science/pore-structure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sciencedirect.com/topics/materials-science/polyethyleneimine" TargetMode="External"/><Relationship Id="rId12" Type="http://schemas.openxmlformats.org/officeDocument/2006/relationships/hyperlink" Target="https://www.sciencedirect.com/topics/materials-science/mechanical-strength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s://www.sciencedirect.com/topics/earth-and-planetary-sciences/environmental-impact-assessmen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s100.copyright.com/AppDispatchServlet?publisherName=ELS&amp;contentID=S0950061825016514&amp;orderBeanReset=true" TargetMode="External"/><Relationship Id="rId11" Type="http://schemas.openxmlformats.org/officeDocument/2006/relationships/hyperlink" Target="https://www.sciencedirect.com/topics/materials-science/mechanical-strength" TargetMode="External"/><Relationship Id="rId5" Type="http://schemas.openxmlformats.org/officeDocument/2006/relationships/hyperlink" Target="https://doi.org/10.1016/j.conbuildmat.2025.141503" TargetMode="External"/><Relationship Id="rId15" Type="http://schemas.openxmlformats.org/officeDocument/2006/relationships/hyperlink" Target="https://www.sciencedirect.com/topics/engineering/building-material" TargetMode="External"/><Relationship Id="rId10" Type="http://schemas.openxmlformats.org/officeDocument/2006/relationships/hyperlink" Target="https://www.sciencedirect.com/topics/engineering/carbonatio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sciencedirect.com/topics/engineering/carbonation" TargetMode="External"/><Relationship Id="rId14" Type="http://schemas.openxmlformats.org/officeDocument/2006/relationships/hyperlink" Target="https://www.sciencedirect.com/topics/materials-science/polymer-film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2</Pages>
  <Words>685</Words>
  <Characters>3905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Jagath</dc:creator>
  <cp:keywords/>
  <dc:description/>
  <cp:lastModifiedBy>Jagath</cp:lastModifiedBy>
  <cp:revision>1</cp:revision>
  <dcterms:created xsi:type="dcterms:W3CDTF">2026-07-17T08:38:00Z</dcterms:created>
  <dcterms:modified xsi:type="dcterms:W3CDTF">2026-07-17T09:19:00Z</dcterms:modified>
</cp:coreProperties>
</file>